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A0F1E" w:sz="1"/>
              <w:left w:val="single" w:color="0A0F1E" w:sz="1"/>
              <w:bottom w:val="single" w:color="0A0F1E" w:sz="1"/>
              <w:right w:val="single" w:color="0A0F1E" w:sz="1"/>
            </w:tcBorders>
            <w:shd w:fill="0A0F1E" w:val="clear"/>
            <w:tcMar>
              <w:top w:type="dxa" w:w="400"/>
              <w:left w:type="dxa" w:w="400"/>
              <w:bottom w:type="dxa" w:w="400"/>
              <w:right w:type="dxa" w:w="400"/>
            </w:tcMar>
          </w:tcPr>
          <w:p>
            <w:pPr>
              <w:spacing w:after="60"/>
              <w:jc w:val="left"/>
            </w:pPr>
            <w:r>
              <w:rPr>
                <w:rFonts w:ascii="Arial" w:cs="Arial" w:eastAsia="Arial" w:hAnsi="Arial"/>
                <w:b/>
                <w:bCs/>
                <w:color w:val="C9A84C"/>
                <w:sz w:val="14"/>
                <w:szCs w:val="14"/>
              </w:rPr>
              <w:t xml:space="preserve">POLÍTICA CORPORATIVA DE USO ÉTICO DE INTELIGENCIA ARTIFICIAL</w:t>
            </w:r>
          </w:p>
          <w:p>
            <w:pPr>
              <w:spacing w:after="120"/>
              <w:jc w:val="left"/>
            </w:pPr>
            <w:r>
              <w:rPr>
                <w:rFonts w:ascii="Arial" w:cs="Arial" w:eastAsia="Arial" w:hAnsi="Arial"/>
                <w:b/>
                <w:bCs/>
                <w:color w:val="FFFFFF"/>
                <w:sz w:val="40"/>
                <w:szCs w:val="40"/>
              </w:rPr>
              <w:t xml:space="preserve">Política de Uso de IA</w:t>
            </w:r>
          </w:p>
          <w:p>
            <w:pPr>
              <w:spacing w:after="200"/>
              <w:jc w:val="left"/>
            </w:pPr>
            <w:r>
              <w:rPr>
                <w:rFonts w:ascii="Arial" w:cs="Arial" w:eastAsia="Arial" w:hAnsi="Arial"/>
                <w:color w:val="CBD5E1"/>
                <w:sz w:val="20"/>
                <w:szCs w:val="20"/>
              </w:rPr>
              <w:t xml:space="preserve">Documento base para que su empresa formalice el uso responsable de la inteligencia artificial.</w:t>
            </w:r>
          </w:p>
          <w:p>
            <w:pPr>
              <w:spacing w:after="0"/>
              <w:jc w:val="left"/>
            </w:pPr>
            <w:r>
              <w:rPr>
                <w:rFonts w:ascii="Arial" w:cs="Arial" w:eastAsia="Arial" w:hAnsi="Arial"/>
                <w:color w:val="94A3B8"/>
                <w:sz w:val="16"/>
                <w:szCs w:val="16"/>
              </w:rPr>
              <w:t xml:space="preserve">proyectosdeIA.com  |  Versión 1.0  |  [Fecha]</w:t>
            </w:r>
          </w:p>
        </w:tc>
      </w:tr>
    </w:tbl>
    <w:p>
      <w:pPr>
        <w:spacing w:after="32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1. Objeto y ámbito de aplicación</w:t>
      </w:r>
    </w:p>
    <w:p>
      <w:pPr>
        <w:spacing w:after="120"/>
      </w:pPr>
      <w:r>
        <w:rPr>
          <w:rFonts w:ascii="Arial" w:cs="Arial" w:eastAsia="Arial" w:hAnsi="Arial"/>
          <w:color w:val="1E293B"/>
          <w:sz w:val="20"/>
          <w:szCs w:val="20"/>
        </w:rPr>
        <w:t xml:space="preserve">La presente Política de Uso Ético de Inteligencia Artificial establece los principios, normas y procedimientos que rigen el uso de sistemas de inteligencia artificial en [NOMBRE DE LA EMPRESA], en cumplimiento del Reglamento UE 2024/1689 (AI Act) y demás normativa aplicable.</w:t>
      </w:r>
    </w:p>
    <w:p>
      <w:pPr>
        <w:spacing w:after="120"/>
      </w:pPr>
      <w:r>
        <w:rPr>
          <w:rFonts w:ascii="Arial" w:cs="Arial" w:eastAsia="Arial" w:hAnsi="Arial"/>
          <w:color w:val="1E293B"/>
          <w:sz w:val="20"/>
          <w:szCs w:val="20"/>
        </w:rPr>
        <w:t xml:space="preserve">Esta política es de obligado cumplimiento para todos los empleados, colaboradores y terceros que actúen en nombre de la empresa y hagan uso de sistemas de IA en el desarrollo de sus funciones.</w:t>
      </w:r>
    </w:p>
    <w:p>
      <w:pPr>
        <w:spacing w:after="16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2. Principios rectores</w:t>
      </w:r>
    </w:p>
    <w:p>
      <w:pPr>
        <w:spacing w:after="120"/>
      </w:pPr>
      <w:r>
        <w:rPr>
          <w:rFonts w:ascii="Arial" w:cs="Arial" w:eastAsia="Arial" w:hAnsi="Arial"/>
          <w:color w:val="1E293B"/>
          <w:sz w:val="20"/>
          <w:szCs w:val="20"/>
        </w:rPr>
        <w:t xml:space="preserve">El uso de la IA en nuestra organización se rige por los siguientes principios: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0A0F1E" w:sz="1"/>
              <w:left w:val="single" w:color="0A0F1E" w:sz="1"/>
              <w:bottom w:val="single" w:color="0A0F1E" w:sz="1"/>
              <w:right w:val="single" w:color="0A0F1E" w:sz="1"/>
            </w:tcBorders>
            <w:shd w:fill="0A0F1E" w:val="clear"/>
            <w:tcMar>
              <w:top w:type="dxa" w:w="100"/>
              <w:left w:type="dxa" w:w="150"/>
              <w:bottom w:type="dxa" w:w="100"/>
              <w:right w:type="dxa" w:w="150"/>
            </w:tcMar>
            <w:vAlign w:val="center"/>
          </w:tcPr>
          <w:p>
            <w:r>
              <w:rPr>
                <w:rFonts w:ascii="Arial" w:cs="Arial" w:eastAsia="Arial" w:hAnsi="Arial"/>
                <w:b/>
                <w:bCs/>
                <w:color w:val="FFFFFF"/>
                <w:sz w:val="18"/>
                <w:szCs w:val="18"/>
              </w:rPr>
              <w:t xml:space="preserve">PRINCIPIO</w:t>
            </w:r>
          </w:p>
        </w:tc>
        <w:tc>
          <w:tcPr>
            <w:tcW w:type="dxa" w:w="6526"/>
            <w:tcBorders>
              <w:top w:val="single" w:color="0A0F1E" w:sz="1"/>
              <w:left w:val="single" w:color="0A0F1E" w:sz="1"/>
              <w:bottom w:val="single" w:color="0A0F1E" w:sz="1"/>
              <w:right w:val="single" w:color="0A0F1E" w:sz="1"/>
            </w:tcBorders>
            <w:shd w:fill="0A0F1E" w:val="clear"/>
            <w:tcMar>
              <w:top w:type="dxa" w:w="100"/>
              <w:left w:type="dxa" w:w="150"/>
              <w:bottom w:type="dxa" w:w="100"/>
              <w:right w:type="dxa" w:w="150"/>
            </w:tcMar>
            <w:vAlign w:val="center"/>
          </w:tcPr>
          <w:p>
            <w:r>
              <w:rPr>
                <w:rFonts w:ascii="Arial" w:cs="Arial" w:eastAsia="Arial" w:hAnsi="Arial"/>
                <w:b/>
                <w:bCs/>
                <w:color w:val="FFFFFF"/>
                <w:sz w:val="18"/>
                <w:szCs w:val="18"/>
              </w:rPr>
              <w:t xml:space="preserve">DESCRIPCIÓN</w:t>
            </w:r>
          </w:p>
        </w:tc>
      </w:tr>
      <w:tr>
        <w:tc>
          <w:tcPr>
            <w:tcW w:type="dxa" w:w="2500"/>
            <w:tcBorders>
              <w:top w:val="single" w:color="DDDDDD" w:sz="1"/>
              <w:left w:val="single" w:color="DDDDDD" w:sz="1"/>
              <w:bottom w:val="single" w:color="DDDDDD" w:sz="1"/>
              <w:right w:val="single" w:color="DDDDDD" w:sz="1"/>
            </w:tcBorders>
            <w:shd w:fill="EFF6FF" w:val="clear"/>
            <w:tcMar>
              <w:top w:type="dxa" w:w="100"/>
              <w:left w:type="dxa" w:w="150"/>
              <w:bottom w:type="dxa" w:w="100"/>
              <w:right w:type="dxa" w:w="150"/>
            </w:tcMar>
            <w:vAlign w:val="top"/>
          </w:tcPr>
          <w:p>
            <w:r>
              <w:rPr>
                <w:rFonts w:ascii="Arial" w:cs="Arial" w:eastAsia="Arial" w:hAnsi="Arial"/>
                <w:b/>
                <w:bCs/>
                <w:color w:val="1E293B"/>
                <w:sz w:val="18"/>
                <w:szCs w:val="18"/>
              </w:rPr>
              <w:t xml:space="preserve">Legalidad</w:t>
            </w:r>
          </w:p>
        </w:tc>
        <w:tc>
          <w:tcPr>
            <w:tcW w:type="dxa" w:w="6526"/>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Todo sistema de IA debe cumplir el AI Act y la normativa vigente. Los sistemas de riesgo prohibido no podrán usarse bajo ninguna circunstancia.</w:t>
            </w:r>
          </w:p>
        </w:tc>
      </w:tr>
      <w:tr>
        <w:tc>
          <w:tcPr>
            <w:tcW w:type="dxa" w:w="2500"/>
            <w:tcBorders>
              <w:top w:val="single" w:color="DDDDDD" w:sz="1"/>
              <w:left w:val="single" w:color="DDDDDD" w:sz="1"/>
              <w:bottom w:val="single" w:color="DDDDDD" w:sz="1"/>
              <w:right w:val="single" w:color="DDDDDD" w:sz="1"/>
            </w:tcBorders>
            <w:shd w:fill="EFF6FF" w:val="clear"/>
            <w:tcMar>
              <w:top w:type="dxa" w:w="100"/>
              <w:left w:type="dxa" w:w="150"/>
              <w:bottom w:type="dxa" w:w="100"/>
              <w:right w:type="dxa" w:w="150"/>
            </w:tcMar>
            <w:vAlign w:val="top"/>
          </w:tcPr>
          <w:p>
            <w:r>
              <w:rPr>
                <w:rFonts w:ascii="Arial" w:cs="Arial" w:eastAsia="Arial" w:hAnsi="Arial"/>
                <w:b/>
                <w:bCs/>
                <w:color w:val="1E293B"/>
                <w:sz w:val="18"/>
                <w:szCs w:val="18"/>
              </w:rPr>
              <w:t xml:space="preserve">Transparencia</w:t>
            </w:r>
          </w:p>
        </w:tc>
        <w:tc>
          <w:tcPr>
            <w:tcW w:type="dxa" w:w="6526"/>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Los usuarios que interactúen con sistemas de IA serán informados de ello. El contenido generado con IA se identificará como tal cuando sea material.</w:t>
            </w:r>
          </w:p>
        </w:tc>
      </w:tr>
      <w:tr>
        <w:tc>
          <w:tcPr>
            <w:tcW w:type="dxa" w:w="2500"/>
            <w:tcBorders>
              <w:top w:val="single" w:color="DDDDDD" w:sz="1"/>
              <w:left w:val="single" w:color="DDDDDD" w:sz="1"/>
              <w:bottom w:val="single" w:color="DDDDDD" w:sz="1"/>
              <w:right w:val="single" w:color="DDDDDD" w:sz="1"/>
            </w:tcBorders>
            <w:shd w:fill="EFF6FF" w:val="clear"/>
            <w:tcMar>
              <w:top w:type="dxa" w:w="100"/>
              <w:left w:type="dxa" w:w="150"/>
              <w:bottom w:type="dxa" w:w="100"/>
              <w:right w:type="dxa" w:w="150"/>
            </w:tcMar>
            <w:vAlign w:val="top"/>
          </w:tcPr>
          <w:p>
            <w:r>
              <w:rPr>
                <w:rFonts w:ascii="Arial" w:cs="Arial" w:eastAsia="Arial" w:hAnsi="Arial"/>
                <w:b/>
                <w:bCs/>
                <w:color w:val="1E293B"/>
                <w:sz w:val="18"/>
                <w:szCs w:val="18"/>
              </w:rPr>
              <w:t xml:space="preserve">Supervisión humana</w:t>
            </w:r>
          </w:p>
        </w:tc>
        <w:tc>
          <w:tcPr>
            <w:tcW w:type="dxa" w:w="6526"/>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Ningún sistema de IA adoptará decisiones definitivas sin supervisión humana cuando afecte a derechos, empleo u oportunidades de personas.</w:t>
            </w:r>
          </w:p>
        </w:tc>
      </w:tr>
      <w:tr>
        <w:tc>
          <w:tcPr>
            <w:tcW w:type="dxa" w:w="2500"/>
            <w:tcBorders>
              <w:top w:val="single" w:color="DDDDDD" w:sz="1"/>
              <w:left w:val="single" w:color="DDDDDD" w:sz="1"/>
              <w:bottom w:val="single" w:color="DDDDDD" w:sz="1"/>
              <w:right w:val="single" w:color="DDDDDD" w:sz="1"/>
            </w:tcBorders>
            <w:shd w:fill="EFF6FF" w:val="clear"/>
            <w:tcMar>
              <w:top w:type="dxa" w:w="100"/>
              <w:left w:type="dxa" w:w="150"/>
              <w:bottom w:type="dxa" w:w="100"/>
              <w:right w:type="dxa" w:w="150"/>
            </w:tcMar>
            <w:vAlign w:val="top"/>
          </w:tcPr>
          <w:p>
            <w:r>
              <w:rPr>
                <w:rFonts w:ascii="Arial" w:cs="Arial" w:eastAsia="Arial" w:hAnsi="Arial"/>
                <w:b/>
                <w:bCs/>
                <w:color w:val="1E293B"/>
                <w:sz w:val="18"/>
                <w:szCs w:val="18"/>
              </w:rPr>
              <w:t xml:space="preserve">No discriminación</w:t>
            </w:r>
          </w:p>
        </w:tc>
        <w:tc>
          <w:tcPr>
            <w:tcW w:type="dxa" w:w="6526"/>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Los sistemas de IA no podrán producir resultados discriminatorios por razón de género, etnia, edad, discapacidad u otras características protegidas.</w:t>
            </w:r>
          </w:p>
        </w:tc>
      </w:tr>
      <w:tr>
        <w:tc>
          <w:tcPr>
            <w:tcW w:type="dxa" w:w="2500"/>
            <w:tcBorders>
              <w:top w:val="single" w:color="DDDDDD" w:sz="1"/>
              <w:left w:val="single" w:color="DDDDDD" w:sz="1"/>
              <w:bottom w:val="single" w:color="DDDDDD" w:sz="1"/>
              <w:right w:val="single" w:color="DDDDDD" w:sz="1"/>
            </w:tcBorders>
            <w:shd w:fill="EFF6FF" w:val="clear"/>
            <w:tcMar>
              <w:top w:type="dxa" w:w="100"/>
              <w:left w:type="dxa" w:w="150"/>
              <w:bottom w:type="dxa" w:w="100"/>
              <w:right w:type="dxa" w:w="150"/>
            </w:tcMar>
            <w:vAlign w:val="top"/>
          </w:tcPr>
          <w:p>
            <w:r>
              <w:rPr>
                <w:rFonts w:ascii="Arial" w:cs="Arial" w:eastAsia="Arial" w:hAnsi="Arial"/>
                <w:b/>
                <w:bCs/>
                <w:color w:val="1E293B"/>
                <w:sz w:val="18"/>
                <w:szCs w:val="18"/>
              </w:rPr>
              <w:t xml:space="preserve">Privacidad</w:t>
            </w:r>
          </w:p>
        </w:tc>
        <w:tc>
          <w:tcPr>
            <w:tcW w:type="dxa" w:w="6526"/>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El uso de IA respetará el Reglamento UE 2016/679 (RGPD). No se introducirán datos personales en herramientas externas sin garantías contractuales.</w:t>
            </w:r>
          </w:p>
        </w:tc>
      </w:tr>
      <w:tr>
        <w:tc>
          <w:tcPr>
            <w:tcW w:type="dxa" w:w="2500"/>
            <w:tcBorders>
              <w:top w:val="single" w:color="DDDDDD" w:sz="1"/>
              <w:left w:val="single" w:color="DDDDDD" w:sz="1"/>
              <w:bottom w:val="single" w:color="DDDDDD" w:sz="1"/>
              <w:right w:val="single" w:color="DDDDDD" w:sz="1"/>
            </w:tcBorders>
            <w:shd w:fill="EFF6FF" w:val="clear"/>
            <w:tcMar>
              <w:top w:type="dxa" w:w="100"/>
              <w:left w:type="dxa" w:w="150"/>
              <w:bottom w:type="dxa" w:w="100"/>
              <w:right w:type="dxa" w:w="150"/>
            </w:tcMar>
            <w:vAlign w:val="top"/>
          </w:tcPr>
          <w:p>
            <w:r>
              <w:rPr>
                <w:rFonts w:ascii="Arial" w:cs="Arial" w:eastAsia="Arial" w:hAnsi="Arial"/>
                <w:b/>
                <w:bCs/>
                <w:color w:val="1E293B"/>
                <w:sz w:val="18"/>
                <w:szCs w:val="18"/>
              </w:rPr>
              <w:t xml:space="preserve">Seguridad</w:t>
            </w:r>
          </w:p>
        </w:tc>
        <w:tc>
          <w:tcPr>
            <w:tcW w:type="dxa" w:w="6526"/>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No se introducirá información confidencial, código fuente propietario o secretos comerciales en herramientas de IA externas no aprobadas.</w:t>
            </w:r>
          </w:p>
        </w:tc>
      </w:tr>
    </w:tbl>
    <w:p>
      <w:pPr>
        <w:spacing w:after="16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3. Herramientas aprobadas y prohibidas</w:t>
      </w:r>
    </w:p>
    <w:p>
      <w:pPr>
        <w:pStyle w:val="Heading2"/>
        <w:spacing w:after="140" w:before="280"/>
      </w:pPr>
      <w:r>
        <w:rPr>
          <w:rFonts w:ascii="Arial" w:cs="Arial" w:eastAsia="Arial" w:hAnsi="Arial"/>
          <w:b/>
          <w:bCs/>
          <w:color w:val="2563EB"/>
          <w:sz w:val="22"/>
          <w:szCs w:val="22"/>
        </w:rPr>
        <w:t xml:space="preserve">3.1 Proceso de aprobación de nuevas herramientas</w:t>
      </w:r>
    </w:p>
    <w:p>
      <w:pPr>
        <w:spacing w:after="120"/>
      </w:pPr>
      <w:r>
        <w:rPr>
          <w:rFonts w:ascii="Arial" w:cs="Arial" w:eastAsia="Arial" w:hAnsi="Arial"/>
          <w:color w:val="1E293B"/>
          <w:sz w:val="20"/>
          <w:szCs w:val="20"/>
        </w:rPr>
        <w:t xml:space="preserve">Ninguna herramienta de IA podrá usarse en la empresa sin seguir el proceso de aprobación establecido:</w:t>
      </w:r>
    </w:p>
    <w:p>
      <w:pPr>
        <w:pStyle w:val="ListParagraph"/>
        <w:numPr>
          <w:ilvl w:val="0"/>
          <w:numId w:val="2"/>
        </w:numPr>
      </w:pPr>
      <w:r>
        <w:rPr>
          <w:rFonts w:ascii="Arial" w:cs="Arial" w:eastAsia="Arial" w:hAnsi="Arial"/>
          <w:sz w:val="20"/>
          <w:szCs w:val="20"/>
        </w:rPr>
        <w:t xml:space="preserve">Solicitud por escrito al responsable de gobernanza de IA indicando: herramienta, proveedor, función y datos que procesará.</w:t>
      </w:r>
    </w:p>
    <w:p>
      <w:pPr>
        <w:pStyle w:val="ListParagraph"/>
        <w:numPr>
          <w:ilvl w:val="0"/>
          <w:numId w:val="2"/>
        </w:numPr>
      </w:pPr>
      <w:r>
        <w:rPr>
          <w:rFonts w:ascii="Arial" w:cs="Arial" w:eastAsia="Arial" w:hAnsi="Arial"/>
          <w:sz w:val="20"/>
          <w:szCs w:val="20"/>
        </w:rPr>
        <w:t xml:space="preserve">Clasificación de riesgo por el AI Champion del área solicitante.</w:t>
      </w:r>
    </w:p>
    <w:p>
      <w:pPr>
        <w:pStyle w:val="ListParagraph"/>
        <w:numPr>
          <w:ilvl w:val="0"/>
          <w:numId w:val="2"/>
        </w:numPr>
      </w:pPr>
      <w:r>
        <w:rPr>
          <w:rFonts w:ascii="Arial" w:cs="Arial" w:eastAsia="Arial" w:hAnsi="Arial"/>
          <w:sz w:val="20"/>
          <w:szCs w:val="20"/>
        </w:rPr>
        <w:t xml:space="preserve">Aprobación del Comité de Gobernanza de IA para herramientas de riesgo limitado o superior.</w:t>
      </w:r>
    </w:p>
    <w:p>
      <w:pPr>
        <w:pStyle w:val="ListParagraph"/>
        <w:numPr>
          <w:ilvl w:val="0"/>
          <w:numId w:val="2"/>
        </w:numPr>
      </w:pPr>
      <w:r>
        <w:rPr>
          <w:rFonts w:ascii="Arial" w:cs="Arial" w:eastAsia="Arial" w:hAnsi="Arial"/>
          <w:sz w:val="20"/>
          <w:szCs w:val="20"/>
        </w:rPr>
        <w:t xml:space="preserve">Registro en el inventario de sistemas de IA.</w:t>
      </w:r>
    </w:p>
    <w:p>
      <w:pPr>
        <w:pStyle w:val="ListParagraph"/>
        <w:numPr>
          <w:ilvl w:val="0"/>
          <w:numId w:val="2"/>
        </w:numPr>
      </w:pPr>
      <w:r>
        <w:rPr>
          <w:rFonts w:ascii="Arial" w:cs="Arial" w:eastAsia="Arial" w:hAnsi="Arial"/>
          <w:sz w:val="20"/>
          <w:szCs w:val="20"/>
        </w:rPr>
        <w:t xml:space="preserve">Designación de AI Risk Owner si el sistema es de alto riesgo.</w:t>
      </w:r>
    </w:p>
    <w:p>
      <w:pPr>
        <w:spacing w:after="160"/>
      </w:pPr>
      <w:r>
        <w:t xml:space="preserve"/>
      </w:r>
    </w:p>
    <w:p>
      <w:pPr>
        <w:pStyle w:val="Heading2"/>
        <w:spacing w:after="140" w:before="280"/>
      </w:pPr>
      <w:r>
        <w:rPr>
          <w:rFonts w:ascii="Arial" w:cs="Arial" w:eastAsia="Arial" w:hAnsi="Arial"/>
          <w:b/>
          <w:bCs/>
          <w:color w:val="2563EB"/>
          <w:sz w:val="22"/>
          <w:szCs w:val="22"/>
        </w:rPr>
        <w:t xml:space="preserve">3.2 Usos expresamente prohibidos</w:t>
      </w:r>
    </w:p>
    <w:p>
      <w:pPr>
        <w:spacing w:after="120"/>
      </w:pPr>
      <w:r>
        <w:rPr>
          <w:rFonts w:ascii="Arial" w:cs="Arial" w:eastAsia="Arial" w:hAnsi="Arial"/>
          <w:color w:val="1E293B"/>
          <w:sz w:val="20"/>
          <w:szCs w:val="20"/>
        </w:rPr>
        <w:t xml:space="preserve">Queda terminantemente prohibido:</w:t>
      </w:r>
    </w:p>
    <w:p>
      <w:pPr>
        <w:pStyle w:val="ListParagraph"/>
        <w:numPr>
          <w:ilvl w:val="0"/>
          <w:numId w:val="3"/>
        </w:numPr>
      </w:pPr>
      <w:r>
        <w:rPr>
          <w:rFonts w:ascii="Arial" w:cs="Arial" w:eastAsia="Arial" w:hAnsi="Arial"/>
          <w:sz w:val="20"/>
          <w:szCs w:val="20"/>
        </w:rPr>
        <w:t xml:space="preserve">Usar sistemas de reconocimiento facial o biométrico en espacios públicos.</w:t>
      </w:r>
    </w:p>
    <w:p>
      <w:pPr>
        <w:pStyle w:val="ListParagraph"/>
        <w:numPr>
          <w:ilvl w:val="0"/>
          <w:numId w:val="3"/>
        </w:numPr>
      </w:pPr>
      <w:r>
        <w:rPr>
          <w:rFonts w:ascii="Arial" w:cs="Arial" w:eastAsia="Arial" w:hAnsi="Arial"/>
          <w:sz w:val="20"/>
          <w:szCs w:val="20"/>
        </w:rPr>
        <w:t xml:space="preserve">Introducir datos personales de clientes o empleados en herramientas de IA externas no aprobadas.</w:t>
      </w:r>
    </w:p>
    <w:p>
      <w:pPr>
        <w:pStyle w:val="ListParagraph"/>
        <w:numPr>
          <w:ilvl w:val="0"/>
          <w:numId w:val="3"/>
        </w:numPr>
      </w:pPr>
      <w:r>
        <w:rPr>
          <w:rFonts w:ascii="Arial" w:cs="Arial" w:eastAsia="Arial" w:hAnsi="Arial"/>
          <w:sz w:val="20"/>
          <w:szCs w:val="20"/>
        </w:rPr>
        <w:t xml:space="preserve">Introducir código fuente propietario, contratos, datos financieros o cualquier información confidencial en herramientas de IA externas.</w:t>
      </w:r>
    </w:p>
    <w:p>
      <w:pPr>
        <w:pStyle w:val="ListParagraph"/>
        <w:numPr>
          <w:ilvl w:val="0"/>
          <w:numId w:val="3"/>
        </w:numPr>
      </w:pPr>
      <w:r>
        <w:rPr>
          <w:rFonts w:ascii="Arial" w:cs="Arial" w:eastAsia="Arial" w:hAnsi="Arial"/>
          <w:sz w:val="20"/>
          <w:szCs w:val="20"/>
        </w:rPr>
        <w:t xml:space="preserve">Usar IA para generar contenido engañoso, manipulador o que suplante identidades reales sin autorización.</w:t>
      </w:r>
    </w:p>
    <w:p>
      <w:pPr>
        <w:pStyle w:val="ListParagraph"/>
        <w:numPr>
          <w:ilvl w:val="0"/>
          <w:numId w:val="3"/>
        </w:numPr>
      </w:pPr>
      <w:r>
        <w:rPr>
          <w:rFonts w:ascii="Arial" w:cs="Arial" w:eastAsia="Arial" w:hAnsi="Arial"/>
          <w:sz w:val="20"/>
          <w:szCs w:val="20"/>
        </w:rPr>
        <w:t xml:space="preserve">Usar sistemas de IA que hayan sido explícitamente denegados por el Comité de Gobernanza de IA.</w:t>
      </w:r>
    </w:p>
    <w:p>
      <w:pPr>
        <w:pStyle w:val="ListParagraph"/>
        <w:numPr>
          <w:ilvl w:val="0"/>
          <w:numId w:val="3"/>
        </w:numPr>
      </w:pPr>
      <w:r>
        <w:rPr>
          <w:rFonts w:ascii="Arial" w:cs="Arial" w:eastAsia="Arial" w:hAnsi="Arial"/>
          <w:sz w:val="20"/>
          <w:szCs w:val="20"/>
        </w:rPr>
        <w:t xml:space="preserve">Presentar contenido generado por IA como propio sin revisión ni validación humana.</w:t>
      </w:r>
    </w:p>
    <w:p>
      <w:pPr>
        <w:spacing w:after="16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4. Responsabilidades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6026"/>
      </w:tblGrid>
      <w:tr>
        <w:tc>
          <w:tcPr>
            <w:tcW w:type="dxa" w:w="3000"/>
            <w:tcBorders>
              <w:top w:val="single" w:color="0A0F1E" w:sz="1"/>
              <w:left w:val="single" w:color="0A0F1E" w:sz="1"/>
              <w:bottom w:val="single" w:color="0A0F1E" w:sz="1"/>
              <w:right w:val="single" w:color="0A0F1E" w:sz="1"/>
            </w:tcBorders>
            <w:shd w:fill="0A0F1E" w:val="clear"/>
            <w:tcMar>
              <w:top w:type="dxa" w:w="100"/>
              <w:left w:type="dxa" w:w="150"/>
              <w:bottom w:type="dxa" w:w="100"/>
              <w:right w:type="dxa" w:w="150"/>
            </w:tcMar>
            <w:vAlign w:val="center"/>
          </w:tcPr>
          <w:p>
            <w:r>
              <w:rPr>
                <w:rFonts w:ascii="Arial" w:cs="Arial" w:eastAsia="Arial" w:hAnsi="Arial"/>
                <w:b/>
                <w:bCs/>
                <w:color w:val="FFFFFF"/>
                <w:sz w:val="18"/>
                <w:szCs w:val="18"/>
              </w:rPr>
              <w:t xml:space="preserve">ROL</w:t>
            </w:r>
          </w:p>
        </w:tc>
        <w:tc>
          <w:tcPr>
            <w:tcW w:type="dxa" w:w="6026"/>
            <w:tcBorders>
              <w:top w:val="single" w:color="0A0F1E" w:sz="1"/>
              <w:left w:val="single" w:color="0A0F1E" w:sz="1"/>
              <w:bottom w:val="single" w:color="0A0F1E" w:sz="1"/>
              <w:right w:val="single" w:color="0A0F1E" w:sz="1"/>
            </w:tcBorders>
            <w:shd w:fill="0A0F1E" w:val="clear"/>
            <w:tcMar>
              <w:top w:type="dxa" w:w="100"/>
              <w:left w:type="dxa" w:w="150"/>
              <w:bottom w:type="dxa" w:w="100"/>
              <w:right w:type="dxa" w:w="150"/>
            </w:tcMar>
            <w:vAlign w:val="center"/>
          </w:tcPr>
          <w:p>
            <w:r>
              <w:rPr>
                <w:rFonts w:ascii="Arial" w:cs="Arial" w:eastAsia="Arial" w:hAnsi="Arial"/>
                <w:b/>
                <w:bCs/>
                <w:color w:val="FFFFFF"/>
                <w:sz w:val="18"/>
                <w:szCs w:val="18"/>
              </w:rPr>
              <w:t xml:space="preserve">RESPONSABILIDADES</w:t>
            </w:r>
          </w:p>
        </w:tc>
      </w:tr>
      <w:tr>
        <w:tc>
          <w:tcPr>
            <w:tcW w:type="dxa" w:w="3000"/>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bCs/>
                <w:color w:val="1E293B"/>
                <w:sz w:val="18"/>
                <w:szCs w:val="18"/>
              </w:rPr>
              <w:t xml:space="preserve">Dirección General</w:t>
            </w:r>
          </w:p>
        </w:tc>
        <w:tc>
          <w:tcPr>
            <w:tcW w:type="dxa" w:w="6026"/>
            <w:tcBorders>
              <w:top w:val="single" w:color="DDDDDD" w:sz="1"/>
              <w:left w:val="single" w:color="DDDDDD" w:sz="1"/>
              <w:bottom w:val="single" w:color="DDDDDD" w:sz="1"/>
              <w:right w:val="single" w:color="DDDDDD" w:sz="1"/>
            </w:tcBorders>
            <w:shd w:fill="FFFFFF"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Aprueba esta política. Nombra al responsable de gobernanza. Aprueba decisiones estratégicas de IA.</w:t>
            </w:r>
          </w:p>
        </w:tc>
      </w:tr>
      <w:tr>
        <w:tc>
          <w:tcPr>
            <w:tcW w:type="dxa" w:w="3000"/>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bCs/>
                <w:color w:val="1E293B"/>
                <w:sz w:val="18"/>
                <w:szCs w:val="18"/>
              </w:rPr>
              <w:t xml:space="preserve">Responsable de Gobernanza de IA</w:t>
            </w:r>
          </w:p>
        </w:tc>
        <w:tc>
          <w:tcPr>
            <w:tcW w:type="dxa" w:w="6026"/>
            <w:tcBorders>
              <w:top w:val="single" w:color="DDDDDD" w:sz="1"/>
              <w:left w:val="single" w:color="DDDDDD" w:sz="1"/>
              <w:bottom w:val="single" w:color="DDDDDD" w:sz="1"/>
              <w:right w:val="single" w:color="DDDDDD" w:sz="1"/>
            </w:tcBorders>
            <w:shd w:fill="FFFFFF"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Gestiona el inventario de sistemas. Coordina el Comité. Actualiza esta política. Reporta a dirección.</w:t>
            </w:r>
          </w:p>
        </w:tc>
      </w:tr>
      <w:tr>
        <w:tc>
          <w:tcPr>
            <w:tcW w:type="dxa" w:w="3000"/>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bCs/>
                <w:color w:val="1E293B"/>
                <w:sz w:val="18"/>
                <w:szCs w:val="18"/>
              </w:rPr>
              <w:t xml:space="preserve">AI Champions por área</w:t>
            </w:r>
          </w:p>
        </w:tc>
        <w:tc>
          <w:tcPr>
            <w:tcW w:type="dxa" w:w="6026"/>
            <w:tcBorders>
              <w:top w:val="single" w:color="DDDDDD" w:sz="1"/>
              <w:left w:val="single" w:color="DDDDDD" w:sz="1"/>
              <w:bottom w:val="single" w:color="DDDDDD" w:sz="1"/>
              <w:right w:val="single" w:color="DDDDDD" w:sz="1"/>
            </w:tcBorders>
            <w:shd w:fill="FFFFFF"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Supervisan el uso de IA en su departamento. Gestionan solicitudes de nuevas herramientas. Reportan incidentes.</w:t>
            </w:r>
          </w:p>
        </w:tc>
      </w:tr>
      <w:tr>
        <w:tc>
          <w:tcPr>
            <w:tcW w:type="dxa" w:w="3000"/>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bCs/>
                <w:color w:val="1E293B"/>
                <w:sz w:val="18"/>
                <w:szCs w:val="18"/>
              </w:rPr>
              <w:t xml:space="preserve">AI Risk Owners</w:t>
            </w:r>
          </w:p>
        </w:tc>
        <w:tc>
          <w:tcPr>
            <w:tcW w:type="dxa" w:w="6026"/>
            <w:tcBorders>
              <w:top w:val="single" w:color="DDDDDD" w:sz="1"/>
              <w:left w:val="single" w:color="DDDDDD" w:sz="1"/>
              <w:bottom w:val="single" w:color="DDDDDD" w:sz="1"/>
              <w:right w:val="single" w:color="DDDDDD" w:sz="1"/>
            </w:tcBorders>
            <w:shd w:fill="FFFFFF"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Responsables de sistemas concretos de alto riesgo. Supervisan decisiones, gestionan logs y pueden suspender el sistema.</w:t>
            </w:r>
          </w:p>
        </w:tc>
      </w:tr>
      <w:tr>
        <w:tc>
          <w:tcPr>
            <w:tcW w:type="dxa" w:w="3000"/>
            <w:tcBorders>
              <w:top w:val="single" w:color="DDDDDD" w:sz="1"/>
              <w:left w:val="single" w:color="DDDDDD" w:sz="1"/>
              <w:bottom w:val="single" w:color="DDDDDD" w:sz="1"/>
              <w:right w:val="single" w:color="DDDDDD" w:sz="1"/>
            </w:tcBorders>
            <w:shd w:fill="F8FAFC" w:val="clear"/>
            <w:tcMar>
              <w:top w:type="dxa" w:w="100"/>
              <w:left w:type="dxa" w:w="150"/>
              <w:bottom w:type="dxa" w:w="100"/>
              <w:right w:type="dxa" w:w="150"/>
            </w:tcMar>
            <w:vAlign w:val="top"/>
          </w:tcPr>
          <w:p>
            <w:r>
              <w:rPr>
                <w:rFonts w:ascii="Arial" w:cs="Arial" w:eastAsia="Arial" w:hAnsi="Arial"/>
                <w:b/>
                <w:bCs/>
                <w:color w:val="1E293B"/>
                <w:sz w:val="18"/>
                <w:szCs w:val="18"/>
              </w:rPr>
              <w:t xml:space="preserve">Todos los empleados</w:t>
            </w:r>
          </w:p>
        </w:tc>
        <w:tc>
          <w:tcPr>
            <w:tcW w:type="dxa" w:w="6026"/>
            <w:tcBorders>
              <w:top w:val="single" w:color="DDDDDD" w:sz="1"/>
              <w:left w:val="single" w:color="DDDDDD" w:sz="1"/>
              <w:bottom w:val="single" w:color="DDDDDD" w:sz="1"/>
              <w:right w:val="single" w:color="DDDDDD" w:sz="1"/>
            </w:tcBorders>
            <w:shd w:fill="FFFFFF" w:val="clear"/>
            <w:tcMar>
              <w:top w:type="dxa" w:w="100"/>
              <w:left w:type="dxa" w:w="150"/>
              <w:bottom w:type="dxa" w:w="100"/>
              <w:right w:type="dxa" w:w="150"/>
            </w:tcMar>
            <w:vAlign w:val="top"/>
          </w:tcPr>
          <w:p>
            <w:r>
              <w:rPr>
                <w:rFonts w:ascii="Arial" w:cs="Arial" w:eastAsia="Arial" w:hAnsi="Arial"/>
                <w:b w:val="false"/>
                <w:bCs w:val="false"/>
                <w:color w:val="1E293B"/>
                <w:sz w:val="18"/>
                <w:szCs w:val="18"/>
              </w:rPr>
              <w:t xml:space="preserve">Conocen y cumplen esta política. Reportan cualquier incidente o uso inadecuado. Completan la formación obligatoria.</w:t>
            </w:r>
          </w:p>
        </w:tc>
      </w:tr>
    </w:tbl>
    <w:p>
      <w:pPr>
        <w:spacing w:after="16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5. Formación y toma de conocimiento</w:t>
      </w:r>
    </w:p>
    <w:p>
      <w:pPr>
        <w:spacing w:after="120"/>
      </w:pPr>
      <w:r>
        <w:rPr>
          <w:rFonts w:ascii="Arial" w:cs="Arial" w:eastAsia="Arial" w:hAnsi="Arial"/>
          <w:color w:val="1E293B"/>
          <w:sz w:val="20"/>
          <w:szCs w:val="20"/>
        </w:rPr>
        <w:t xml:space="preserve">Todo empleado que haga uso de sistemas de IA en el desempeño de sus funciones deberá:</w:t>
      </w:r>
    </w:p>
    <w:p>
      <w:pPr>
        <w:pStyle w:val="ListParagraph"/>
        <w:numPr>
          <w:ilvl w:val="0"/>
          <w:numId w:val="3"/>
        </w:numPr>
      </w:pPr>
      <w:r>
        <w:rPr>
          <w:rFonts w:ascii="Arial" w:cs="Arial" w:eastAsia="Arial" w:hAnsi="Arial"/>
          <w:sz w:val="20"/>
          <w:szCs w:val="20"/>
        </w:rPr>
        <w:t xml:space="preserve">Leer y firmar esta política en el momento de su incorporación (onboarding).</w:t>
      </w:r>
    </w:p>
    <w:p>
      <w:pPr>
        <w:pStyle w:val="ListParagraph"/>
        <w:numPr>
          <w:ilvl w:val="0"/>
          <w:numId w:val="3"/>
        </w:numPr>
      </w:pPr>
      <w:r>
        <w:rPr>
          <w:rFonts w:ascii="Arial" w:cs="Arial" w:eastAsia="Arial" w:hAnsi="Arial"/>
          <w:sz w:val="20"/>
          <w:szCs w:val="20"/>
        </w:rPr>
        <w:t xml:space="preserve">Completar la formación básica de uso responsable de IA proporcionada por la empresa.</w:t>
      </w:r>
    </w:p>
    <w:p>
      <w:pPr>
        <w:pStyle w:val="ListParagraph"/>
        <w:numPr>
          <w:ilvl w:val="0"/>
          <w:numId w:val="3"/>
        </w:numPr>
      </w:pPr>
      <w:r>
        <w:rPr>
          <w:rFonts w:ascii="Arial" w:cs="Arial" w:eastAsia="Arial" w:hAnsi="Arial"/>
          <w:sz w:val="20"/>
          <w:szCs w:val="20"/>
        </w:rPr>
        <w:t xml:space="preserve">Actualizar su formación cuando se publiquen revisiones significativas de esta política o de la normativa aplicable.</w:t>
      </w:r>
    </w:p>
    <w:p>
      <w:pPr>
        <w:spacing w:after="16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6. Gestión de incidentes</w:t>
      </w:r>
    </w:p>
    <w:p>
      <w:pPr>
        <w:spacing w:after="120"/>
      </w:pPr>
      <w:r>
        <w:rPr>
          <w:rFonts w:ascii="Arial" w:cs="Arial" w:eastAsia="Arial" w:hAnsi="Arial"/>
          <w:color w:val="1E293B"/>
          <w:sz w:val="20"/>
          <w:szCs w:val="20"/>
        </w:rPr>
        <w:t xml:space="preserve">Se considera incidente de IA cualquier situación en que un sistema de IA produzca resultados incorrectos, discriminatorios, dañinos o no conformes con esta política.</w:t>
      </w:r>
    </w:p>
    <w:p>
      <w:pPr>
        <w:spacing w:after="120"/>
      </w:pPr>
      <w:r>
        <w:rPr>
          <w:rFonts w:ascii="Arial" w:cs="Arial" w:eastAsia="Arial" w:hAnsi="Arial"/>
          <w:color w:val="1E293B"/>
          <w:sz w:val="20"/>
          <w:szCs w:val="20"/>
        </w:rPr>
        <w:t xml:space="preserve">Procedimiento: El empleado que detecte un incidente lo comunicará de inmediato al AI Champion de su área. El AI Champion lo escalará al Responsable de Gobernanza. Si el incidente implica riesgo para personas, el sistema se suspenderá cautelarmente hasta resolución.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580C" w:sz="6"/>
              <w:left w:val="single" w:color="CCCCCC" w:sz="1"/>
              <w:bottom w:val="single" w:color="CCCCCC" w:sz="1"/>
              <w:right w:val="single" w:color="CCCCCC" w:sz="1"/>
            </w:tcBorders>
            <w:shd w:fill="FFF7ED" w:val="clear"/>
            <w:tcMar>
              <w:top w:type="dxa" w:w="120"/>
              <w:left w:type="dxa" w:w="180"/>
              <w:bottom w:type="dxa" w:w="120"/>
              <w:right w:type="dxa" w:w="180"/>
            </w:tcMar>
          </w:tcPr>
          <w:p>
            <w:pPr>
              <w:spacing w:after="60"/>
            </w:pPr>
            <w:r>
              <w:rPr>
                <w:rFonts w:ascii="Arial" w:cs="Arial" w:eastAsia="Arial" w:hAnsi="Arial"/>
                <w:b/>
                <w:bCs/>
                <w:color w:val="1E293B"/>
                <w:sz w:val="20"/>
                <w:szCs w:val="20"/>
              </w:rPr>
              <w:t xml:space="preserve">Canal de reporte de incidentes</w:t>
            </w:r>
          </w:p>
          <w:p>
            <w:pPr>
              <w:spacing w:after="0"/>
            </w:pPr>
            <w:r>
              <w:rPr>
                <w:rFonts w:ascii="Arial" w:cs="Arial" w:eastAsia="Arial" w:hAnsi="Arial"/>
                <w:color w:val="64748B"/>
                <w:sz w:val="18"/>
                <w:szCs w:val="18"/>
              </w:rPr>
              <w:t xml:space="preserve">Email: [CORREO INTERNO]  |  Responsable: [NOMBRE]  |  Plazo de respuesta: 48 horas hábiles</w:t>
            </w:r>
          </w:p>
        </w:tc>
      </w:tr>
    </w:tbl>
    <w:p>
      <w:pPr>
        <w:spacing w:after="16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7. Revisión y vigencia</w:t>
      </w:r>
    </w:p>
    <w:p>
      <w:pPr>
        <w:spacing w:after="120"/>
      </w:pPr>
      <w:r>
        <w:rPr>
          <w:rFonts w:ascii="Arial" w:cs="Arial" w:eastAsia="Arial" w:hAnsi="Arial"/>
          <w:color w:val="1E293B"/>
          <w:sz w:val="20"/>
          <w:szCs w:val="20"/>
        </w:rPr>
        <w:t xml:space="preserve">Esta política entrará en vigor en la fecha de su firma por la Dirección General. Será revisada al menos una vez al año, o cuando se produzcan cambios normativos relevantes (nuevas obligaciones del AI Act, decisiones de la AESIA, etc.).</w:t>
      </w:r>
    </w:p>
    <w:p>
      <w:pPr>
        <w:spacing w:after="320"/>
      </w:pPr>
      <w:r>
        <w:t xml:space="preserve"/>
      </w:r>
    </w:p>
    <w:p>
      <w:pPr>
        <w:pStyle w:val="Heading1"/>
        <w:pBdr>
          <w:bottom w:val="single" w:color="2563EB" w:sz="4" w:space="6"/>
        </w:pBdr>
        <w:spacing w:after="180" w:before="360"/>
      </w:pPr>
      <w:r>
        <w:rPr>
          <w:rFonts w:ascii="Arial" w:cs="Arial" w:eastAsia="Arial" w:hAnsi="Arial"/>
          <w:b/>
          <w:bCs/>
          <w:color w:val="0A0F1E"/>
          <w:sz w:val="28"/>
          <w:szCs w:val="28"/>
        </w:rPr>
        <w:t xml:space="preserve">8. Firmas de aprobación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0A0F1E" w:sz="1"/>
              <w:left w:val="single" w:color="0A0F1E" w:sz="1"/>
              <w:bottom w:val="single" w:color="0A0F1E" w:sz="1"/>
              <w:right w:val="single" w:color="0A0F1E" w:sz="1"/>
            </w:tcBorders>
            <w:shd w:fill="0A0F1E" w:val="clear"/>
            <w:tcMar>
              <w:top w:type="dxa" w:w="100"/>
              <w:left w:type="dxa" w:w="150"/>
              <w:bottom w:type="dxa" w:w="100"/>
              <w:right w:type="dxa" w:w="150"/>
            </w:tcMar>
            <w:vAlign w:val="center"/>
          </w:tcPr>
          <w:p>
            <w:r>
              <w:rPr>
                <w:rFonts w:ascii="Arial" w:cs="Arial" w:eastAsia="Arial" w:hAnsi="Arial"/>
                <w:b/>
                <w:bCs/>
                <w:color w:val="FFFFFF"/>
                <w:sz w:val="18"/>
                <w:szCs w:val="18"/>
              </w:rPr>
              <w:t xml:space="preserve">APROBADO POR</w:t>
            </w:r>
          </w:p>
        </w:tc>
        <w:tc>
          <w:tcPr>
            <w:tcW w:type="dxa" w:w="4513"/>
            <w:tcBorders>
              <w:top w:val="single" w:color="0A0F1E" w:sz="1"/>
              <w:left w:val="single" w:color="0A0F1E" w:sz="1"/>
              <w:bottom w:val="single" w:color="0A0F1E" w:sz="1"/>
              <w:right w:val="single" w:color="0A0F1E" w:sz="1"/>
            </w:tcBorders>
            <w:shd w:fill="0A0F1E" w:val="clear"/>
            <w:tcMar>
              <w:top w:type="dxa" w:w="100"/>
              <w:left w:type="dxa" w:w="150"/>
              <w:bottom w:type="dxa" w:w="100"/>
              <w:right w:type="dxa" w:w="150"/>
            </w:tcMar>
            <w:vAlign w:val="center"/>
          </w:tcPr>
          <w:p>
            <w:r>
              <w:rPr>
                <w:rFonts w:ascii="Arial" w:cs="Arial" w:eastAsia="Arial" w:hAnsi="Arial"/>
                <w:b/>
                <w:bCs/>
                <w:color w:val="FFFFFF"/>
                <w:sz w:val="18"/>
                <w:szCs w:val="18"/>
              </w:rPr>
              <w:t xml:space="preserve">RESPONSABLE DE GOBERNANZA DE IA</w:t>
            </w:r>
          </w:p>
        </w:tc>
      </w:tr>
      <w:tr>
        <w:tc>
          <w:tcPr>
            <w:tcW w:type="dxa" w:w="4513"/>
            <w:tcBorders>
              <w:top w:val="single" w:color="CCCCCC" w:sz="1"/>
              <w:left w:val="single" w:color="CCCCCC" w:sz="1"/>
              <w:bottom w:val="single" w:color="CCCCCC" w:sz="1"/>
              <w:right w:val="single" w:color="CCCCCC" w:sz="1"/>
            </w:tcBorders>
            <w:shd w:fill="F8FAFC" w:val="clear"/>
            <w:tcMar>
              <w:top w:type="dxa" w:w="300"/>
              <w:left w:type="dxa" w:w="150"/>
              <w:bottom w:type="dxa" w:w="300"/>
              <w:right w:type="dxa" w:w="150"/>
            </w:tcMar>
          </w:tcPr>
          <w:p>
            <w:pPr>
              <w:spacing w:after="60"/>
            </w:pPr>
            <w:r>
              <w:rPr>
                <w:rFonts w:ascii="Arial" w:cs="Arial" w:eastAsia="Arial" w:hAnsi="Arial"/>
                <w:sz w:val="18"/>
                <w:szCs w:val="18"/>
              </w:rPr>
              <w:t xml:space="preserve">Nombre:</w:t>
            </w:r>
          </w:p>
          <w:p>
            <w:pPr>
              <w:spacing w:after="60"/>
            </w:pPr>
            <w:r>
              <w:rPr>
                <w:rFonts w:ascii="Arial" w:cs="Arial" w:eastAsia="Arial" w:hAnsi="Arial"/>
                <w:sz w:val="18"/>
                <w:szCs w:val="18"/>
              </w:rPr>
              <w:t xml:space="preserve">Cargo:</w:t>
            </w:r>
          </w:p>
          <w:p>
            <w:pPr>
              <w:spacing w:after="60"/>
            </w:pPr>
            <w:r>
              <w:rPr>
                <w:rFonts w:ascii="Arial" w:cs="Arial" w:eastAsia="Arial" w:hAnsi="Arial"/>
                <w:sz w:val="18"/>
                <w:szCs w:val="18"/>
              </w:rPr>
              <w:t xml:space="preserve">Fecha:</w:t>
            </w:r>
          </w:p>
          <w:p>
            <w:pPr>
              <w:spacing w:after="60"/>
            </w:pPr>
            <w:r>
              <w:rPr>
                <w:rFonts w:ascii="Arial" w:cs="Arial" w:eastAsia="Arial" w:hAnsi="Arial"/>
                <w:sz w:val="18"/>
                <w:szCs w:val="18"/>
              </w:rPr>
              <w:t xml:space="preserve">Firma: ___________________</w:t>
            </w:r>
          </w:p>
        </w:tc>
        <w:tc>
          <w:tcPr>
            <w:tcW w:type="dxa" w:w="4513"/>
            <w:tcBorders>
              <w:top w:val="single" w:color="CCCCCC" w:sz="1"/>
              <w:left w:val="single" w:color="CCCCCC" w:sz="1"/>
              <w:bottom w:val="single" w:color="CCCCCC" w:sz="1"/>
              <w:right w:val="single" w:color="CCCCCC" w:sz="1"/>
            </w:tcBorders>
            <w:shd w:fill="F8FAFC" w:val="clear"/>
            <w:tcMar>
              <w:top w:type="dxa" w:w="300"/>
              <w:left w:type="dxa" w:w="150"/>
              <w:bottom w:type="dxa" w:w="300"/>
              <w:right w:type="dxa" w:w="150"/>
            </w:tcMar>
          </w:tcPr>
          <w:p>
            <w:pPr>
              <w:spacing w:after="60"/>
            </w:pPr>
            <w:r>
              <w:rPr>
                <w:rFonts w:ascii="Arial" w:cs="Arial" w:eastAsia="Arial" w:hAnsi="Arial"/>
                <w:sz w:val="18"/>
                <w:szCs w:val="18"/>
              </w:rPr>
              <w:t xml:space="preserve">Nombre:</w:t>
            </w:r>
          </w:p>
          <w:p>
            <w:pPr>
              <w:spacing w:after="60"/>
            </w:pPr>
            <w:r>
              <w:rPr>
                <w:rFonts w:ascii="Arial" w:cs="Arial" w:eastAsia="Arial" w:hAnsi="Arial"/>
                <w:sz w:val="18"/>
                <w:szCs w:val="18"/>
              </w:rPr>
              <w:t xml:space="preserve">Cargo:</w:t>
            </w:r>
          </w:p>
          <w:p>
            <w:pPr>
              <w:spacing w:after="60"/>
            </w:pPr>
            <w:r>
              <w:rPr>
                <w:rFonts w:ascii="Arial" w:cs="Arial" w:eastAsia="Arial" w:hAnsi="Arial"/>
                <w:sz w:val="18"/>
                <w:szCs w:val="18"/>
              </w:rPr>
              <w:t xml:space="preserve">Fecha:</w:t>
            </w:r>
          </w:p>
          <w:p>
            <w:pPr>
              <w:spacing w:after="60"/>
            </w:pPr>
            <w:r>
              <w:rPr>
                <w:rFonts w:ascii="Arial" w:cs="Arial" w:eastAsia="Arial" w:hAnsi="Arial"/>
                <w:sz w:val="18"/>
                <w:szCs w:val="18"/>
              </w:rPr>
              <w:t xml:space="preserve">Firma: ___________________</w:t>
            </w:r>
          </w:p>
        </w:tc>
      </w:tr>
    </w:tbl>
    <w:p>
      <w:pPr>
        <w:spacing w:after="160"/>
      </w:pPr>
      <w:r>
        <w:t xml:space="preserve"/>
      </w:r>
    </w:p>
    <w:p>
      <w:pPr>
        <w:jc w:val="center"/>
      </w:pPr>
      <w:r>
        <w:rPr>
          <w:rFonts w:ascii="Arial" w:cs="Arial" w:eastAsia="Arial" w:hAnsi="Arial"/>
          <w:i/>
          <w:iCs/>
          <w:color w:val="64748B"/>
          <w:sz w:val="16"/>
          <w:szCs w:val="16"/>
        </w:rPr>
        <w:t xml:space="preserve">proyectosdeIA.com · Este documento es una plantilla orientativa. Adáptelo a su empresa. No constituye asesoramiento jurídico.</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6"/>
        <w:szCs w:val="16"/>
      </w:rPr>
      <w:t xml:space="preserve">Página </w:t>
    </w:r>
    <w:r>
      <w:rPr>
        <w:rFonts w:ascii="Arial" w:cs="Arial" w:eastAsia="Arial" w:hAnsi="Arial"/>
        <w:color w:val="64748B"/>
        <w:sz w:val="16"/>
        <w:szCs w:val="16"/>
      </w:rPr>
      <w:fldChar w:fldCharType="begin"/>
      <w:instrText xml:space="preserve">PAGE</w:instrText>
      <w:fldChar w:fldCharType="separate"/>
      <w:fldChar w:fldCharType="end"/>
    </w:r>
    <w:r>
      <w:rPr>
        <w:rFonts w:ascii="Arial" w:cs="Arial" w:eastAsia="Arial" w:hAnsi="Arial"/>
        <w:color w:val="64748B"/>
        <w:sz w:val="16"/>
        <w:szCs w:val="16"/>
      </w:rPr>
      <w:t xml:space="preserve"> de </w:t>
    </w:r>
    <w:r>
      <w:rPr>
        <w:rFonts w:ascii="Arial" w:cs="Arial" w:eastAsia="Arial" w:hAnsi="Arial"/>
        <w:color w:val="64748B"/>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563EB" w:sz="4" w:space="6"/>
      </w:pBdr>
      <w:jc w:val="right"/>
    </w:pPr>
    <w:r>
      <w:rPr>
        <w:rFonts w:ascii="Arial" w:cs="Arial" w:eastAsia="Arial" w:hAnsi="Arial"/>
        <w:color w:val="64748B"/>
        <w:sz w:val="16"/>
        <w:szCs w:val="16"/>
      </w:rPr>
      <w:t xml:space="preserve">Política de Uso Ético de IA · [EMPRESA] · Versión 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Arial" w:cs="Arial" w:eastAsia="Arial" w:hAnsi="Arial"/>
      <w:b/>
      <w:bCs/>
      <w:color w:val="0A0F1E"/>
      <w:sz w:val="28"/>
      <w:szCs w:val="28"/>
    </w:rPr>
  </w:style>
  <w:style w:type="paragraph" w:styleId="Heading2">
    <w:name w:val="Heading 2"/>
    <w:basedOn w:val="Normal"/>
    <w:next w:val="Normal"/>
    <w:qFormat/>
    <w:pPr>
      <w:spacing w:after="140" w:before="280"/>
      <w:outlineLvl w:val="1"/>
    </w:pPr>
    <w:rPr>
      <w:rFonts w:ascii="Arial" w:cs="Arial" w:eastAsia="Arial" w:hAnsi="Arial"/>
      <w:b/>
      <w:bCs/>
      <w:color w:val="2563EB"/>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2026-05-03T12:21:48.315Z</dcterms:created>
  <dcterms:modified xsi:type="dcterms:W3CDTF">2026-05-03T12:21:48.316Z</dcterms:modified>
</cp:coreProperties>
</file>

<file path=docProps/custom.xml><?xml version="1.0" encoding="utf-8"?>
<Properties xmlns="http://schemas.openxmlformats.org/officeDocument/2006/custom-properties" xmlns:vt="http://schemas.openxmlformats.org/officeDocument/2006/docPropsVTypes"/>
</file>